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MS"/>
        <w:jc w:val="center"/>
        <w:spacing w:line="432" w:lineRule="auto"/>
        <w:rPr>
          <w:rFonts w:ascii="맑은 고딕" w:eastAsia="맑은 고딕" w:hAnsi="맑은 고딕"/>
          <w:b/>
          <w:bCs/>
          <w:sz w:val="40"/>
          <w:szCs w:val="40"/>
        </w:rPr>
      </w:pPr>
      <w:r>
        <w:rPr>
          <w:rFonts w:ascii="맑은 고딕" w:eastAsia="맑은 고딕" w:hAnsi="맑은 고딕" w:hint="eastAsia"/>
          <w:b/>
          <w:bCs/>
          <w:sz w:val="40"/>
          <w:szCs w:val="40"/>
        </w:rPr>
        <w:t>콘텐츠 유통 표준계약서</w:t>
      </w:r>
    </w:p>
    <w:p>
      <w:pPr>
        <w:pStyle w:val="MS"/>
        <w:jc w:val="center"/>
        <w:spacing w:line="432" w:lineRule="auto"/>
        <w:rPr>
          <w:rFonts w:ascii="맑은 고딕" w:eastAsia="맑은 고딕" w:hAnsi="맑은 고딕"/>
          <w:b/>
          <w:bCs/>
          <w:sz w:val="40"/>
          <w:szCs w:val="40"/>
        </w:rPr>
      </w:pPr>
    </w:p>
    <w:p>
      <w:pPr>
        <w:pStyle w:val="MS"/>
        <w:jc w:val="center"/>
        <w:spacing w:line="432" w:lineRule="auto"/>
        <w:rPr>
          <w:rFonts w:ascii="맑은 고딕" w:eastAsia="맑은 고딕" w:hAnsi="맑은 고딕"/>
          <w:b/>
          <w:bCs/>
          <w:sz w:val="40"/>
          <w:szCs w:val="40"/>
        </w:rPr>
      </w:pPr>
    </w:p>
    <w:p>
      <w:pPr>
        <w:pStyle w:val="MS"/>
        <w:jc w:val="center"/>
        <w:spacing w:line="432" w:lineRule="auto"/>
        <w:rPr>
          <w:rFonts w:ascii="맑은 고딕" w:eastAsia="맑은 고딕" w:hAnsi="맑은 고딕"/>
          <w:b/>
          <w:bCs/>
          <w:sz w:val="40"/>
          <w:szCs w:val="40"/>
        </w:rPr>
      </w:pPr>
    </w:p>
    <w:p>
      <w:pPr>
        <w:pStyle w:val="MS"/>
        <w:jc w:val="center"/>
        <w:spacing w:line="432" w:lineRule="auto"/>
        <w:rPr>
          <w:rFonts w:ascii="맑은 고딕" w:eastAsia="맑은 고딕" w:hAnsi="맑은 고딕"/>
          <w:b/>
          <w:bCs/>
          <w:sz w:val="40"/>
          <w:szCs w:val="40"/>
        </w:rPr>
      </w:pPr>
    </w:p>
    <w:p>
      <w:pPr>
        <w:pStyle w:val="MS"/>
        <w:jc w:val="center"/>
        <w:spacing w:line="432" w:lineRule="auto"/>
        <w:rPr>
          <w:rFonts w:ascii="맑은 고딕" w:eastAsia="맑은 고딕" w:hAnsi="맑은 고딕"/>
          <w:b/>
          <w:bCs/>
          <w:sz w:val="40"/>
          <w:szCs w:val="40"/>
        </w:rPr>
      </w:pPr>
    </w:p>
    <w:p>
      <w:pPr>
        <w:pStyle w:val="MS"/>
        <w:jc w:val="center"/>
        <w:spacing w:line="432" w:lineRule="auto"/>
        <w:rPr>
          <w:rFonts w:ascii="맑은 고딕" w:eastAsia="맑은 고딕" w:hAnsi="맑은 고딕"/>
          <w:b/>
          <w:bCs/>
          <w:sz w:val="40"/>
          <w:szCs w:val="40"/>
        </w:rPr>
      </w:pPr>
    </w:p>
    <w:p>
      <w:pPr>
        <w:pStyle w:val="MS"/>
        <w:jc w:val="center"/>
        <w:spacing w:line="432" w:lineRule="auto"/>
        <w:rPr>
          <w:rFonts w:ascii="맑은 고딕" w:eastAsia="맑은 고딕" w:hAnsi="맑은 고딕"/>
          <w:b/>
          <w:bCs/>
          <w:sz w:val="40"/>
          <w:szCs w:val="40"/>
        </w:rPr>
      </w:pPr>
    </w:p>
    <w:p>
      <w:pPr>
        <w:pStyle w:val="MS"/>
        <w:jc w:val="center"/>
        <w:spacing w:line="432" w:lineRule="auto"/>
        <w:rPr>
          <w:rFonts w:ascii="맑은 고딕" w:eastAsia="맑은 고딕" w:hAnsi="맑은 고딕"/>
        </w:rPr>
      </w:pPr>
    </w:p>
    <w:p>
      <w:pPr>
        <w:pStyle w:val="MS"/>
        <w:jc w:val="center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  <w:b/>
          <w:bCs/>
          <w:sz w:val="40"/>
          <w:szCs w:val="40"/>
          <w:highlight w:val="yellow"/>
        </w:rPr>
        <w:t>“저작권자”주식회사_</w:t>
      </w:r>
      <w:r>
        <w:rPr>
          <w:rFonts w:ascii="맑은 고딕" w:eastAsia="맑은 고딕" w:hAnsi="맑은 고딕"/>
          <w:b/>
          <w:bCs/>
          <w:sz w:val="40"/>
          <w:szCs w:val="40"/>
          <w:highlight w:val="yellow"/>
        </w:rPr>
        <w:t>___________</w:t>
      </w:r>
    </w:p>
    <w:p>
      <w:pPr>
        <w:pStyle w:val="MS"/>
        <w:jc w:val="center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  <w:b/>
          <w:bCs/>
          <w:sz w:val="40"/>
          <w:szCs w:val="40"/>
        </w:rPr>
        <w:t>“사업자”주식회사 웹트</w:t>
      </w:r>
      <w:r>
        <w:rPr>
          <w:rFonts w:ascii="맑은 고딕" w:eastAsia="맑은 고딕" w:hAnsi="맑은 고딕" w:hint="eastAsia"/>
          <w:b/>
          <w:bCs/>
          <w:sz w:val="40"/>
          <w:szCs w:val="40"/>
          <w:rtl w:val="off"/>
        </w:rPr>
        <w:t>래</w:t>
      </w:r>
      <w:r>
        <w:rPr>
          <w:rFonts w:ascii="맑은 고딕" w:eastAsia="맑은 고딕" w:hAnsi="맑은 고딕" w:hint="eastAsia"/>
          <w:b/>
          <w:bCs/>
          <w:sz w:val="40"/>
          <w:szCs w:val="40"/>
        </w:rPr>
        <w:t>블</w:t>
      </w:r>
    </w:p>
    <w:p>
      <w:pPr>
        <w:pStyle w:val="MS"/>
        <w:jc w:val="center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  <w:b/>
          <w:bCs/>
          <w:sz w:val="40"/>
          <w:szCs w:val="40"/>
        </w:rPr>
        <w:t>콘텐츠 유통 계약서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주식회사 </w:t>
      </w:r>
      <w:r>
        <w:rPr>
          <w:rFonts w:ascii="맑은 고딕" w:eastAsia="맑은 고딕" w:hAnsi="맑은 고딕" w:hint="eastAsia"/>
          <w:u w:val="single" w:color="auto"/>
        </w:rPr>
        <w:t xml:space="preserve">         </w:t>
      </w:r>
      <w:r>
        <w:rPr>
          <w:rFonts w:ascii="맑은 고딕" w:eastAsia="맑은 고딕" w:hAnsi="맑은 고딕" w:hint="eastAsia"/>
        </w:rPr>
        <w:t>(이하 “저작권자”라 한다)와 주식회사 웹트</w:t>
      </w:r>
      <w:r>
        <w:rPr>
          <w:rFonts w:ascii="맑은 고딕" w:eastAsia="맑은 고딕" w:hAnsi="맑은 고딕" w:hint="eastAsia"/>
          <w:rtl w:val="off"/>
        </w:rPr>
        <w:t>래</w:t>
      </w:r>
      <w:r>
        <w:rPr>
          <w:rFonts w:ascii="맑은 고딕" w:eastAsia="맑은 고딕" w:hAnsi="맑은 고딕" w:hint="eastAsia"/>
        </w:rPr>
        <w:t>블(이하 “사업자”라 한다)은 콘텐츠 유통 계약(이하 '본 계약'이라 한다)을 체결함에 있어 계약내용을 성실히 이행하고 상호 이익증진을 위해 노력할 것을 약속하며 다음과 같이 계약을 체결한다.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  <w:b/>
          <w:bCs/>
        </w:rPr>
        <w:t>제1조 (계약의 목적)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본 계약서는 “사업자”가 “저작권자”의 ‘콘텐츠’를 ‘이용자’에게 ‘서비스’함에 있어서 </w:t>
      </w:r>
      <w:r>
        <w:rPr>
          <w:rFonts w:ascii="맑은 고딕" w:eastAsia="맑은 고딕" w:hAnsi="맑은 고딕"/>
        </w:rPr>
        <w:t>당사자간의 권리·의무 관계 및 제반 사항을 규정하고, ‘저작권자’와 ‘사업자’ 간에 합법적 콘텐츠 제휴업무를 상호 성실히 이행하는데 필요한 책임과 의무 및 운영과 정산에 관한 제반 서비스 사항을 규정하는 데에 그 목적이 있다.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  <w:b/>
          <w:bCs/>
        </w:rPr>
        <w:t>제2조 (용어의 정의)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1. ‘콘텐츠’ : “저작권자”가 “사업자”의 ‘서비스’를 위해 제공하는 적법한 권리를 소유한 모든 데이터 (음원, 텍스트, 이미지, 그래픽, 앨범재킷, 사진, 영상물 등) 및 그 대상 저작물과, 이와 관련되어 “저작권자”가 보유한 저작물로 ‘제휴콘텐츠’로 표시하여 서비스한다.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2. ‘서비스’ : “사업자”가 ‘콘텐츠’ 기반 사업을 ‘이용자’에게 제공하기 위한 일체의 행위로써 구체적 내용을 의미한다.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3. ‘시스템’ : ‘서비스’를 제공하기 위한 모든 제반 하드웨어 및 소프트웨어 일체.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4. ‘이용자’ : “사업자”의 ‘서비스’를 이용하는 사용자.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5. ‘이용료’ : ‘사업자’가 </w:t>
      </w:r>
      <w:r>
        <w:rPr>
          <w:rFonts w:ascii="맑은 고딕" w:eastAsia="맑은 고딕" w:hAnsi="맑은 고딕"/>
        </w:rPr>
        <w:t>‘이용자’에게 이용을 허락하며 그 대가로 받는 가격을 의미한다.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6. ‘매출액’ : ‘이용료’의 총 합계로 환불/취소를 제외한 액수로 한다. 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7. ‘정산’ : ‘매출액’에 대해 “저작권자”와 “사업자”가 상호 협의하여 정한 비율과 방식으로 대금을 나누는 일련의 행위를 의미한다. 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8. ‘정산시스템’ : “사업자”가 원활한 ‘정산’과 ‘서비스’를 위해 구축한 것으로서, ‘이용자’의 ‘서비스’ 이용 정보(이용량 및 매출정보 등 포함)를 확인할 수 있는 기능이 포함된 하드웨어 및 소프트웨어 일체를 의미한다. 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9. ‘미제휴콘텐츠’: “저작권자”가 “사업자”의 서비스를 위해 제공한 ‘콘텐츠’가 정상 과금이 되지 않은 콘텐츠 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10. ‘본 계약’에서 정의된 용어의 적용 범위는 본 계약에 한하며, 정의되지 않은 용어의 적용은 일반관례에 따른다.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  <w:b/>
          <w:bCs/>
        </w:rPr>
        <w:t>제 3조 (계약의 대상)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‘본 계약’의 대상이 되는 ‘서비스’는 다음과 같다.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1. 사이트명: http</w:t>
      </w:r>
      <w:r>
        <w:rPr>
          <w:rFonts w:ascii="맑은 고딕" w:eastAsia="맑은 고딕" w:hAnsi="맑은 고딕"/>
        </w:rPr>
        <w:t>s</w:t>
      </w:r>
      <w:r>
        <w:rPr>
          <w:rFonts w:ascii="맑은 고딕" w:eastAsia="맑은 고딕" w:hAnsi="맑은 고딕" w:hint="eastAsia"/>
        </w:rPr>
        <w:t>://www.filebit.com, http</w:t>
      </w:r>
      <w:r>
        <w:rPr>
          <w:rFonts w:ascii="맑은 고딕" w:eastAsia="맑은 고딕" w:hAnsi="맑은 고딕"/>
        </w:rPr>
        <w:t>s</w:t>
      </w:r>
      <w:r>
        <w:rPr>
          <w:rFonts w:ascii="맑은 고딕" w:eastAsia="맑은 고딕" w:hAnsi="맑은 고딕" w:hint="eastAsia"/>
        </w:rPr>
        <w:t>://m.</w:t>
      </w:r>
      <w:r>
        <w:rPr>
          <w:rFonts w:ascii="맑은 고딕" w:eastAsia="맑은 고딕" w:hAnsi="맑은 고딕"/>
        </w:rPr>
        <w:t>filebit.com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2. 서비스형태: 다운로드 및 스트리밍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  <w:b/>
          <w:bCs/>
        </w:rPr>
        <w:t>제 4 조 (정산시스템 연동 및 영상 필터링 도입)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1. “사업자”는 “저작권자”와 본 계약 체결 즉시 “저작권자”와 “사업자”의 ‘정산시스템’에 접속할 수 있는 계정을 제공하여 “저작권자”가 제공하는 ‘콘텐츠’의 판매내역을 반드시 노출해야 하며, 해당 정보를 파일로 출력 가능하도록 페이지를 구성해야 한다.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2. “사업자”의 ‘정산시스템’에는 “저작권자”가 불법으로 유통되는 “저작권자”의 콘텐츠를 제휴로 즉시 전환할 수 있는 기능이 포함되어야 한다.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3. “사업자”는 ‘시스템’의 장애에 의해 ‘서비스’에 차질이 발생하거나 ‘정산시스템’에 문제가 발생할 경우, 장애의 원인, 복구 예정일시 및 복구 책임자 등을 발생 즉시 “저작권자”에게 통지하고 복구를 위하여 최선의 조치를 강구해야 한다.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  <w:b/>
          <w:bCs/>
        </w:rPr>
        <w:t>제 5 조 (‘서비스’ 운영)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1. “사업자”는 ‘서비스’에 대해서 주문처리, 정산처리, ‘서비스’ 제공 및 ‘이용자’ 지원업무 등을 전담하고 ‘서비스’와 관련된 결제 ‘서비스’ 제공 등에 따른 사고 발생시 ‘이용자’에 대한 일체의 책임을 진다.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2. “사업자”는 전기통신사업법 및 동법 시행령에 따라 특수한 유형의 부가통신사업자로 등록을 하여야 하며, 해당 등록증 사본을 계약 체결 후 1개월 이내에 “저작권자”에게 제출하여야 한다. “사업자”의 등록증 미제출시 “저작권자”는 본 계약을 해지할 수 있다. 이 경우 “저작권자”에게 일체의 이의나 청구를 제기할 수 없다.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3. “사업자”는 ‘서비스’의 ‘이용료’를 책정하여 “저작권자”와 공정하고 균등한 수익배분이 이루어지도록 한다.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  <w:b/>
          <w:bCs/>
        </w:rPr>
        <w:t>제 6 조 (‘서비스’ 제공시간)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1. ‘서비스’는 연중무휴 1일 24시간 제공함을 원칙으로 한다.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2. ‘시스템’의 정기점검 또는 기술상의 필요 등에 의해 ‘서비스’ 중단이 불가피한 경우 또는 통신망 제공사업자의 사정에 따라 ‘서비스’를 중단해야 하는 경우에는 ‘서비스’를 일시 중단할 수 있다. 단, “저작권자”에 ‘서비스’ 중단 사실을 사전에 통보하여야 한다. 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3. 본조 1항 및 2항의 경우 예상치 못한 불가항력 또는 천재지변에 의한 ‘서비스’의 일시 중단은 통보의 예외로 한다. 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  <w:b/>
          <w:bCs/>
        </w:rPr>
        <w:t>제 7 조 (수익배분 및 정산, 지급)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1. ‘사업자’는 ‘시스템’의 ‘매출액’에서 50%(부가세별도)를 ‘저작권사’의 수익배분 금으로 매월 정산하여 ‘저작권사’에게 지급한다(결제수수료 포함).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2. ‘저작권사’는 ‘사업자’가 등록한 정산 자료에 대한 검수 작업을 완료한 후 서비스 익월 10일자로 해당 정산금액에 대한 전자 세금계산서를 ‘사업자’에게 발행하여 청구하고, ‘사업자’는 ‘저작권사’가 전자 세금계산서를 발행한 월의 25일까지 지정 계좌로 전액 현금 입금한다.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3. 본 조 1항과 관련하여 ‘저작권사’는 ‘사업자’에게 ‘정산시스템’의 데이터 및 각종 자료의 제공을 요구할 수 있으며, ‘사업자’는 ‘저작권사’의 요구가 있을 시 이를 수용해야 한다. 단, '이용자'의 클레임 또는 환불/구매 취소 발생시 정산대상에서 제외하며 별도의 정산근거를 '저작권자' 에게 제공하여야 한다.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  <w:b/>
          <w:bCs/>
        </w:rPr>
        <w:t>제 8 조 (‘서비스’의 홍보 및 마케팅)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‘사업자’는 ‘콘텐츠’의 ‘서비스’ 홍보 및 마케팅에 필요하다고 판단할 경우 ‘콘텐츠’의 전부 혹은 일부분을 ‘저작권자’와 사전 합의를 통해 TV, 잡지 등을 포함한 모든 방송, 광고, 인쇄매체 등에 광고, 홍보, 선전할 수 있다. 이 경우 발생할 수 있는 초상권, 저작권 및 저작인접권 등 ‘저작권자’가 보유하고 있지 않은 권리와 관련된 분쟁에 대한 책임은 ‘사업자’에 귀속된다.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  <w:b/>
          <w:bCs/>
        </w:rPr>
        <w:t>제 9 조 (정보 제공 및 고지의 의무)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1. ‘사업자’는 전기통신사업법에 따른 특수한 유형의 부가통신사업자로서의 요건을 반드시 갖추고 등록증 사본을 ‘저작권자’에 제출해야 한다.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2. ‘사업자’는 ‘저작권자’가 ‘시스템’에서의 ‘콘텐츠’의 ‘서비스’ 현황 관리 및 정산 내역 확인할 수 있도록 다음 각호의 관리자 계정을 ‘저작권자’에게 제공해야 한다.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3. ‘콘텐츠’의 판매 실적 및 ‘저작권자’의 수익에 대해 ‘저작권사’가 실시간으로 확인 할 수 있는 온라인 정산시스템 계정(PC와 모바일 정산내역 구분 제공)을 제공하여야 한다.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  <w:bCs/>
        </w:rPr>
        <w:t>4.</w:t>
      </w:r>
      <w:r>
        <w:rPr>
          <w:rFonts w:ascii="맑은 고딕" w:eastAsia="맑은 고딕" w:hAnsi="맑은 고딕" w:hint="eastAsia"/>
          <w:b/>
          <w:bCs/>
        </w:rPr>
        <w:t xml:space="preserve"> </w:t>
      </w:r>
      <w:r>
        <w:rPr>
          <w:rFonts w:ascii="맑은 고딕" w:eastAsia="맑은 고딕" w:hAnsi="맑은 고딕" w:hint="eastAsia"/>
        </w:rPr>
        <w:t>‘저작권자’가 ‘콘텐츠’를 ‘사업자’의 ‘시스템’에 직접 업로드 할 수 있는 업로드 계정(각 3개 이상)제공하여야 한다.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5. ‘사업자’의 ‘시스템’에 업로드 된 ‘저작권자’의 ‘콘텐츠’에 대해 ‘저작권자’가 직접 과금 및 삭제, 차단 할 수 있는 계정(각 1개) 제공하여아한다.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6 ‘사업자’는 ‘본 계약’과 관련된 사무실, 담당자 주소/연락처 및 관리자 계정의 변경 있을 시에는 사전에 ‘저작권자’에게 서면(전자문서 포함)을 통해 고지하여야 한다.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  <w:b/>
          <w:bCs/>
        </w:rPr>
        <w:t>제 10 조 (정기 및 수시 통지)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1. 통지 형식 및 내용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가. ‘미제휴콘텐츠’ (“저작물” 게시 시기, 침해 “저작물” 제호 및 요청된 검색어, URL, 침해 서비스 범주, “삭제” 시기 등) 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나. 유통 현황 등 관련 정보 및 매출 현황, 수익 배분 등 정산 정보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2. “사업자”는 “미제휴저작물” 적발 및 “삭제” 내역과 유통 관련 정보의 통지는 1주에 1회를 원칙으로 하며, 정산 정보를 매월 1회 통지한다.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3. “저작권사”와 “사업자”가 필요하다고 인정하는 경우 통지 주기를 변경할 수 있다. 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  <w:b/>
          <w:bCs/>
        </w:rPr>
        <w:t>제 11 조 (저작권보호)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1. ‘사업자’는 의무적으로 저작권법 시행령 제46조에 따른 한국저작권위원회의 성능평가를 통과한 기술적 조치를 ‘사업자’의 모든 복제/전송 관련 장비 및 ‘서비스’에 24시간 반드시 적용하여야 한다.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2. ‘사업자’는 적용 중인 기술적 보호조치의 변동(기술업체 변경, 시스템 변경 등)이 있을 경우에는 1개월 이전에 ‘저작권자’에 서면(전자문서 포함)을 통해 반드시 고지하여야 하며, 그 변경시점은 매월 1일을 기준으로 될 수 있도록 조치하여야 한다.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  <w:b/>
          <w:bCs/>
        </w:rPr>
        <w:t>제 12 조 (권리의무 양도의 통보]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양 당사자는 ‘본 계약’상의 권리 및 의무의 전부 또는 일부를 제3자에게 양도, 위임시 지체없이 통보한다.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  <w:b/>
          <w:bCs/>
        </w:rPr>
        <w:t>제 13 조 (계약의 효력 발생 및 계약기간)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1. ‘본 계약’은 계약체결일로부터 그 효력이 발생하며 ‘본 계약’의 계약기간은 체결일로부터 1년으로 한다.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2. 계약기간 만료 30일전까지 어느 일방이 서면으로 계약변경 요청 및 해지 통보가 없는 경우에는 1년씩 자동 연장되는 것으로 한다. 단, ‘본 계약’이 자동 연장된 경우라도 수익배분 등 제반조건의 변경이 필요한 경우 상호 협의로 조정할 수 있다.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  <w:b/>
          <w:bCs/>
        </w:rPr>
        <w:t>제 14 조 (손해배상 및 면책)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1. ‘본 계약’을 위반한 당사자는 상대방 또는 제3자에게 발생한 모든 손해에 대한 배상책임을 부담한다.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2. ‘본 계약’에서 의무불이행이나 이행지체가 천재지변, 폭동, 전쟁, 소요사태 등 불가항력적 사유로 발생한 경우에는 양 당사자는 이에 대한 책임을 지지 않는다.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3. '저작권자'가 요청하는 필터링 등 기술적 보호조치, 정산시스템 연동을 불이행하는 경우 “침해된 게시물 수 x 콘텐츠 가격" 을 손해배상금액으로 책정하며 ‘사업자’는 ‘저작권자’의 요청 즉시 지급한다. 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  <w:b/>
          <w:bCs/>
        </w:rPr>
        <w:t>제 15조 (계약의 해지)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1. ‘저작권자’ 또는 ‘사업자’는 아래 각호의 사유가 발생한 경우 상대방에 서면으로 위반사항을 통보하고 본 계약을 해지할 수 있다.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가. 정당한 사유 없이 본 계약에서 정한 제반 의무를 이행하지 않을 경우.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나. 지급불능, 화의신청, 법정관리신청, 회사정리절차 등으로 회사의 정상적인 운영이 어렵다고 판단될 경우.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다. ‘사업자’가 ‘기술적보호조치’를 이행하지 않은 경우.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2. 상대방의 계약위반 사유가 발생할 경우, 서면(전자우편 포함)으로 시정을 요구하고, 정당한 사유 없이 특정한 기한 내에 시정되지 않을 경우, 서면 통보로 ‘본 계약’을 해지할 수 있다.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  <w:b/>
          <w:bCs/>
        </w:rPr>
        <w:t xml:space="preserve">제 16 조 (비밀유지) 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1. “저작권자”와 “사업자”는 본 계약 체결 및 이행으로 취득한 ‘이용자’의 정보 및 상대방의 업무상 비밀에 대해서는 본 계약 종료 이후에도 영구히 그 사항을 상대방의 사전 서면 승인 없이는 제3자에게 유출하거나 타 목적에 사용 해서는 안되며, 기타 비밀 유지 의무를 철저히 준수해야 한다. 소관 행정기관의 명령이나 사법 절차, 관련 법령 등에 의해 업무상 비밀을 제공하여야 하는 경우에는 상대방에게 사전에 이를 통지하여야 한다.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2. 전 항을 위반하여 “저작권자” 또는 “사업자”의 권리 또는 이익이 침해된 경우, 피해 당사자는 상대에 대해 그에 상응하는 손해배상을 청구할 수 있으며, 피해를 야기한 당사자는 그에 응해야 한다.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  <w:b/>
          <w:bCs/>
        </w:rPr>
        <w:t>제 17 조 (분쟁의 조정)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‘본 계약’과 관련하여 “저작권자”와 “사업자” 간에 분쟁이 발생하는 경우 쌍방은 상호합의에 의하여 원만히 해결하도록 노력하여야 한다. 단, 쌍방합의로 분쟁이 해결되지 않아 소송이 불가피할 경우 그 관할법원은 서울중앙지방법원으로 한다.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  <w:b/>
          <w:bCs/>
        </w:rPr>
        <w:t xml:space="preserve">제 18 조 (기타) 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1. ‘본 계약’의 내용은 ‘저작권자’와 ‘사업자’의 상호간 별도 합의에 의하여 변경될 수 있다. 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2. 양 당사자는 상호 협력하는 협력자의 지위에 입각하여 ‘본 계약’을 이행하며 ‘본 계약’이 정하지 아니한 사항은 상호 합의에 따르며 관계법령 또는 상 관례를 준용한다.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3. ‘본 계약’에 규정된 의무의 불이행이 천재지변, 전쟁, 폭동 등 불가항력에 의해 발생한 경우 당사자는 이에 대해 책임을 지지 않는다. 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4. ‘본 계약’과 관련하여 발생하는 일체의 법적 분쟁에 관한 소송의 제1심 관할법원은 ‘사업자’의 주된 사무소 소재지를 관할하는 지방법원으로 한다.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이상의 계약내용을 증명하기 위하여 ‘저작권자’와 ‘사업자’는 본 계약서를 2부씩 작성, 기명 날인한 후 각각 1부씩 보관한다.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</w:p>
    <w:p>
      <w:pPr>
        <w:pStyle w:val="MS"/>
        <w:spacing w:line="432" w:lineRule="auto"/>
        <w:rPr>
          <w:rFonts w:ascii="맑은 고딕" w:eastAsia="맑은 고딕" w:hAnsi="맑은 고딕"/>
        </w:rPr>
      </w:pPr>
    </w:p>
    <w:p>
      <w:pPr>
        <w:pStyle w:val="MS"/>
        <w:jc w:val="center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/>
          <w:highlight w:val="yellow"/>
        </w:rPr>
        <w:t>2021.  .  .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  <w:b/>
          <w:highlight w:val="yellow"/>
        </w:rPr>
        <w:t>저작권자</w:t>
      </w:r>
      <w:r>
        <w:rPr>
          <w:rFonts w:ascii="맑은 고딕" w:eastAsia="맑은 고딕" w:hAnsi="맑은 고딕" w:hint="eastAsia"/>
          <w:b/>
        </w:rPr>
        <w:t xml:space="preserve">                                                   </w:t>
      </w:r>
      <w:r>
        <w:rPr>
          <w:rFonts w:ascii="맑은 고딕" w:eastAsia="맑은 고딕" w:hAnsi="맑은 고딕" w:hint="eastAsia"/>
        </w:rPr>
        <w:t xml:space="preserve">                                                             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                                            </w:t>
      </w:r>
    </w:p>
    <w:p>
      <w:pPr>
        <w:pStyle w:val="MS"/>
        <w:spacing w:line="432" w:lineRule="auto"/>
        <w:rPr>
          <w:rFonts w:ascii="맑은 고딕" w:eastAsia="맑은 고딕" w:hAnsi="맑은 고딕"/>
          <w:highlight w:val="yellow"/>
        </w:rPr>
      </w:pPr>
    </w:p>
    <w:p>
      <w:pPr>
        <w:pStyle w:val="MS"/>
        <w:spacing w:line="432" w:lineRule="auto"/>
        <w:rPr>
          <w:rFonts w:ascii="맑은 고딕" w:eastAsia="맑은 고딕" w:hAnsi="맑은 고딕"/>
          <w:u w:val="single" w:color="000000"/>
        </w:rPr>
      </w:pPr>
      <w:r>
        <w:rPr>
          <w:rFonts w:ascii="맑은 고딕" w:eastAsia="맑은 고딕" w:hAnsi="맑은 고딕" w:hint="eastAsia"/>
          <w:highlight w:val="yellow"/>
        </w:rPr>
        <w:t>대표이사</w:t>
      </w:r>
      <w:r>
        <w:rPr>
          <w:rFonts w:ascii="맑은 고딕" w:eastAsia="맑은 고딕" w:hAnsi="맑은 고딕"/>
          <w:highlight w:val="yellow"/>
        </w:rPr>
        <w:tab/>
      </w:r>
      <w:r>
        <w:rPr>
          <w:rFonts w:ascii="맑은 고딕" w:eastAsia="맑은 고딕" w:hAnsi="맑은 고딕" w:hint="eastAsia"/>
          <w:highlight w:val="yellow"/>
        </w:rPr>
        <w:t xml:space="preserve"> </w:t>
      </w:r>
      <w:r>
        <w:rPr>
          <w:rFonts w:ascii="맑은 고딕" w:eastAsia="맑은 고딕" w:hAnsi="맑은 고딕" w:hint="eastAsia"/>
          <w:highlight w:val="yellow"/>
          <w:u w:val="single" w:color="000000"/>
        </w:rPr>
        <w:t>(인)</w:t>
      </w:r>
      <w:r>
        <w:rPr>
          <w:rFonts w:ascii="맑은 고딕" w:eastAsia="맑은 고딕" w:hAnsi="맑은 고딕" w:hint="eastAsia"/>
        </w:rPr>
        <w:t xml:space="preserve">                                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</w:p>
    <w:p>
      <w:pPr>
        <w:pStyle w:val="MS"/>
        <w:spacing w:line="432" w:lineRule="auto"/>
        <w:rPr>
          <w:rFonts w:ascii="맑은 고딕" w:eastAsia="맑은 고딕" w:hAnsi="맑은 고딕"/>
        </w:rPr>
      </w:pPr>
    </w:p>
    <w:p>
      <w:pPr>
        <w:pStyle w:val="MS"/>
        <w:spacing w:line="432" w:lineRule="auto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사 업 자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주식회사 웹트</w:t>
      </w:r>
      <w:r>
        <w:rPr>
          <w:rFonts w:ascii="맑은 고딕" w:eastAsia="맑은 고딕" w:hAnsi="맑은 고딕" w:hint="eastAsia"/>
          <w:rtl w:val="off"/>
        </w:rPr>
        <w:t>래</w:t>
      </w:r>
      <w:r>
        <w:rPr>
          <w:rFonts w:ascii="맑은 고딕" w:eastAsia="맑은 고딕" w:hAnsi="맑은 고딕" w:hint="eastAsia"/>
        </w:rPr>
        <w:t>블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서울특별시 강남구 논현로 </w:t>
      </w:r>
      <w:r>
        <w:rPr>
          <w:rFonts w:ascii="맑은 고딕" w:eastAsia="맑은 고딕" w:hAnsi="맑은 고딕"/>
        </w:rPr>
        <w:t>132</w:t>
      </w:r>
      <w:r>
        <w:rPr>
          <w:rFonts w:ascii="맑은 고딕" w:eastAsia="맑은 고딕" w:hAnsi="맑은 고딕" w:hint="eastAsia"/>
        </w:rPr>
        <w:t xml:space="preserve">길 </w:t>
      </w:r>
      <w:r>
        <w:rPr>
          <w:rFonts w:ascii="맑은 고딕" w:eastAsia="맑은 고딕" w:hAnsi="맑은 고딕"/>
        </w:rPr>
        <w:t>11, 302</w:t>
      </w:r>
      <w:r>
        <w:rPr>
          <w:rFonts w:ascii="맑은 고딕" w:eastAsia="맑은 고딕" w:hAnsi="맑은 고딕" w:hint="eastAsia"/>
        </w:rPr>
        <w:t>호</w:t>
      </w:r>
    </w:p>
    <w:p>
      <w:pPr>
        <w:pStyle w:val="MS"/>
        <w:spacing w:line="432" w:lineRule="auto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대표이사 김 창 섭 (인)</w:t>
      </w:r>
    </w:p>
    <w:sectPr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odern"/>
    <w:charset w:val="81"/>
    <w:notTrueType w:val="true"/>
    <w:sig w:usb0="9000002F" w:usb1="29D77CFB" w:usb2="00000012" w:usb3="00000001" w:csb0="00080001" w:csb1="00000001"/>
  </w:font>
  <w:font w:name="바탕">
    <w:panose1 w:val="02030600000101010101"/>
    <w:family w:val="roman"/>
    <w:charset w:val="81"/>
    <w:notTrueType w:val="true"/>
    <w:sig w:usb0="B00002AF" w:usb1="69D77CFB" w:usb2="00000030" w:usb3="00000001" w:csb0="4008009F" w:csb1="DFD70000"/>
  </w:font>
  <w:font w:name="Times New Roman">
    <w:panose1 w:val="02020603050405020304"/>
    <w:family w:val="roman"/>
    <w:charset w:val="00"/>
    <w:notTrueType w:val="true"/>
    <w:sig w:usb0="E0002EFF" w:usb1="C000785B" w:usb2="00000009" w:usb3="00000001" w:csb0="400001FF" w:csb1="FFFF0000"/>
  </w:font>
  <w:font w:name="굴림">
    <w:panose1 w:val="020B0600000101010101"/>
    <w:family w:val="modern"/>
    <w:charset w:val="81"/>
    <w:notTrueType w:val="tru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  <w:noLineBreaksBefore w:lang="ko-KR" w:val="!%),.:;?]}¢°’”′″℃〉》」』】〕！％），．：；？］｝￠'"/>
  <w:noLineBreaksAfter w:lang="ko-KR" w:val="$([\{£¥‘“〈《「『【〔＄（［｛￡￥￦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style w:type="paragraph" w:default="1" w:styleId="a1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customStyle="1" w:styleId="MS">
    <w:name w:val="MS바탕글"/>
    <w:basedOn w:val="a1"/>
    <w:pPr>
      <w:autoSpaceDE/>
      <w:autoSpaceDN/>
      <w:widowControl/>
      <w:wordWrap/>
      <w:snapToGrid w:val="0"/>
      <w:spacing w:after="0" w:line="384" w:lineRule="auto"/>
    </w:pPr>
    <w:rPr>
      <w:rFonts w:ascii="바탕" w:eastAsia="바탕" w:hAnsi="Times New Roman" w:cs="굴림"/>
      <w:color w:val="00000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2018-01-09T09:22:00Z</dcterms:created>
  <dcterms:modified xsi:type="dcterms:W3CDTF">2021-08-11T23:19:09Z</dcterms:modified>
</cp:coreProperties>
</file>